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5D" w:rsidRPr="00353052" w:rsidRDefault="00191789" w:rsidP="00191789">
      <w:pPr>
        <w:pStyle w:val="Geenafstand"/>
        <w:rPr>
          <w:b/>
          <w:u w:val="single"/>
        </w:rPr>
      </w:pPr>
      <w:bookmarkStart w:id="0" w:name="_GoBack"/>
      <w:bookmarkEnd w:id="0"/>
      <w:r w:rsidRPr="00353052">
        <w:rPr>
          <w:b/>
          <w:u w:val="single"/>
        </w:rPr>
        <w:t>Het evangelie volgens Markus.</w:t>
      </w:r>
    </w:p>
    <w:p w:rsidR="00191789" w:rsidRDefault="00191789" w:rsidP="00191789">
      <w:pPr>
        <w:pStyle w:val="Geenafstand"/>
      </w:pPr>
      <w:r>
        <w:t>Evangelie was 2000 jaar geleden een alledaags Grieks woord dat goede of blijde boodschap betekent. In de Bijbel heeft het woord betrekking op het leven van de Here Jezus, natuurlijk in het bijzonder met betrekking tot zijn komst naar de aarde, zijn leven, kruisiging en doo</w:t>
      </w:r>
      <w:r w:rsidR="0095302C">
        <w:t>d met als climax Z</w:t>
      </w:r>
      <w:r>
        <w:t>ijn opstanding.</w:t>
      </w:r>
    </w:p>
    <w:p w:rsidR="00191789" w:rsidRDefault="00191789" w:rsidP="00191789">
      <w:pPr>
        <w:pStyle w:val="Geenafstand"/>
      </w:pPr>
      <w:r>
        <w:t>In het NT zijn vier evangeliën opgenomen, dat van Mattheüs, Marcus, Lukas en Johannes. De schrijvers van deze evangeliën wilden voor hun lezers op schrift belangrijke gebeurtenissen uit het leven van de Here Jezus nalaten. Geïnspireerd door de Heilige Geest schreven zij de gebeurtenissen op om hun lezers over de Heer te leren en te bemoedigen.</w:t>
      </w:r>
    </w:p>
    <w:p w:rsidR="00191789" w:rsidRDefault="00191789" w:rsidP="00191789">
      <w:pPr>
        <w:pStyle w:val="Geenafstand"/>
      </w:pPr>
    </w:p>
    <w:p w:rsidR="004E40CB" w:rsidRPr="00353052" w:rsidRDefault="004E40CB" w:rsidP="00191789">
      <w:pPr>
        <w:pStyle w:val="Geenafstand"/>
        <w:rPr>
          <w:b/>
          <w:u w:val="single"/>
        </w:rPr>
      </w:pPr>
      <w:r w:rsidRPr="00353052">
        <w:rPr>
          <w:b/>
          <w:u w:val="single"/>
        </w:rPr>
        <w:t>De schrijver</w:t>
      </w:r>
    </w:p>
    <w:p w:rsidR="00191789" w:rsidRDefault="00710CF0" w:rsidP="00191789">
      <w:pPr>
        <w:pStyle w:val="Geenafstand"/>
      </w:pPr>
      <w:r>
        <w:t xml:space="preserve">De schrijver </w:t>
      </w:r>
      <w:r w:rsidR="00191789">
        <w:t>Markus is zelf geen ooggetuige geweest van de gebeurtenissen die hij over de Here Jezus heeft opgeschreven. Volgens Papias</w:t>
      </w:r>
      <w:r>
        <w:t xml:space="preserve"> (een schrijver uit de eerste eeuw die de eerste generatie christenen gekend heeft) was Markus </w:t>
      </w:r>
      <w:r w:rsidR="0095302C">
        <w:t>“</w:t>
      </w:r>
      <w:r>
        <w:t>de tolk</w:t>
      </w:r>
      <w:r w:rsidR="0095302C">
        <w:t>”</w:t>
      </w:r>
      <w:r>
        <w:t xml:space="preserve"> van Petrus. </w:t>
      </w:r>
    </w:p>
    <w:p w:rsidR="00710CF0" w:rsidRDefault="00710CF0" w:rsidP="00191789">
      <w:pPr>
        <w:pStyle w:val="Geenafstand"/>
      </w:pPr>
      <w:r>
        <w:t>Markus, ook wel Johannes Markus genoemd, wordt in de Bijbel in meerdere Bijbelboeken genoemd en om meer over hem te weten te komen kun je de volgende teksten lezen: Kol. 4:10; 1Pet. 5:13; Hand. 12:12,25; 13:5; 15:1-5, 36-41. 2Tim. 4:11.</w:t>
      </w:r>
    </w:p>
    <w:p w:rsidR="00FC5918" w:rsidRDefault="00FC5918" w:rsidP="00191789">
      <w:pPr>
        <w:pStyle w:val="Geenafstand"/>
      </w:pPr>
      <w:r>
        <w:t>Als tolk</w:t>
      </w:r>
      <w:r w:rsidR="00A4463E">
        <w:t>/spreekb</w:t>
      </w:r>
      <w:r w:rsidR="0095302C">
        <w:t>uis</w:t>
      </w:r>
      <w:r>
        <w:t xml:space="preserve"> van Petrus noemt hij Petrus wel in zijn evangelie, maar vermeldt hij niet dat Petrus, zoals andere evangelisten doen, </w:t>
      </w:r>
      <w:r w:rsidR="0095302C">
        <w:t xml:space="preserve">vaak </w:t>
      </w:r>
      <w:r>
        <w:t>op de voorgrond staat. Als voorbeeld kun je de geschiedenis over de storm op het Meer van Tiberias vergelijken  uit Mat. 14:22-33 en Markus 6:45-52. Markus vermeldt hier niet dat Petrus over het water gelopen heeft. Petrus gebruikt Markus dus niet om over zichzelf op te scheppen. Je kunt ook Mat. 16:13-20 vergelijken met Markus 8:27-30.</w:t>
      </w:r>
    </w:p>
    <w:p w:rsidR="00FC5918" w:rsidRDefault="00FC5918" w:rsidP="00191789">
      <w:pPr>
        <w:pStyle w:val="Geenafstand"/>
      </w:pPr>
    </w:p>
    <w:p w:rsidR="00FC5918" w:rsidRPr="00353052" w:rsidRDefault="004E40CB" w:rsidP="00191789">
      <w:pPr>
        <w:pStyle w:val="Geenafstand"/>
        <w:rPr>
          <w:b/>
          <w:u w:val="single"/>
        </w:rPr>
      </w:pPr>
      <w:r w:rsidRPr="00353052">
        <w:rPr>
          <w:b/>
          <w:u w:val="single"/>
        </w:rPr>
        <w:t>De eerste lezers</w:t>
      </w:r>
    </w:p>
    <w:p w:rsidR="004E40CB" w:rsidRDefault="004E40CB" w:rsidP="00191789">
      <w:pPr>
        <w:pStyle w:val="Geenafstand"/>
      </w:pPr>
      <w:r>
        <w:t>Markus verklaart in zijn evangelie een aantal Joodse gebruiken en geeft waar nodig extra informatie voor zijn lezers. Zo legt hij in 7:1-5 uit waarom de Farizeeën een opm</w:t>
      </w:r>
      <w:r w:rsidR="0095302C">
        <w:t>erking tegen de Here Jezus mak</w:t>
      </w:r>
      <w:r>
        <w:t xml:space="preserve">en over het </w:t>
      </w:r>
      <w:r w:rsidR="00D70E36">
        <w:t>“eten met onreine handen”. Markus vertelt in dit gedeelte welke handelingen de Farizeeën en alle andere Joden verrichten voordat zij gaan eten. Wanneer zijn lezers gelovigen uit de Joden geweest zouden zijn, zou deze opmerking overbodig geweest zijn. Uit dit voorbeeld en andere voorbeelden in 12:8; 14:12 en 15:42, samen met de vertalingen van enkele Joodse begrippen in 5:8; 7:11,34; 10:46 en 15:22,34 kunnen we de conclusie trekken dat zijn lezers vooral gelovigen uit de heidenen zijn.</w:t>
      </w:r>
    </w:p>
    <w:p w:rsidR="00D70E36" w:rsidRDefault="00D70E36" w:rsidP="00191789">
      <w:pPr>
        <w:pStyle w:val="Geenafstand"/>
      </w:pPr>
    </w:p>
    <w:p w:rsidR="00D70E36" w:rsidRPr="00353052" w:rsidRDefault="00D70E36" w:rsidP="00191789">
      <w:pPr>
        <w:pStyle w:val="Geenafstand"/>
        <w:rPr>
          <w:b/>
          <w:u w:val="single"/>
        </w:rPr>
      </w:pPr>
      <w:r w:rsidRPr="00353052">
        <w:rPr>
          <w:b/>
          <w:u w:val="single"/>
        </w:rPr>
        <w:t>Het jaar waarin Markus het Bijbelboek schreef</w:t>
      </w:r>
    </w:p>
    <w:p w:rsidR="00D70E36" w:rsidRDefault="00D70E36" w:rsidP="00191789">
      <w:pPr>
        <w:pStyle w:val="Geenafstand"/>
      </w:pPr>
      <w:r>
        <w:t xml:space="preserve">Wanneer Markus de tolk van Petrus was, moet hij zijn evangelie voor de dood van Petrus geschreven hebben. Petrus werd in het jaar 64 in Rome, onderste boven aan een kruis, vermoord. Wanneer we </w:t>
      </w:r>
      <w:r w:rsidR="0095302C">
        <w:t>het b</w:t>
      </w:r>
      <w:r w:rsidR="00B6733A">
        <w:t>oek H</w:t>
      </w:r>
      <w:r>
        <w:t xml:space="preserve">andelingen lezen dan zien we dat in de beginperiode vooral aan Joden het evangelie verteld werd. </w:t>
      </w:r>
      <w:r w:rsidR="00B6733A">
        <w:t>Later, na de bekering van Paulus zijn het vooral steeds meer heidenen die het evangelie te horen krijgen en zich tot de Heer bekeren. De meeste uitleggers dateren het Evangelie van Markus rond het jaar 60.</w:t>
      </w:r>
    </w:p>
    <w:p w:rsidR="00B6733A" w:rsidRDefault="00B6733A" w:rsidP="00191789">
      <w:pPr>
        <w:pStyle w:val="Geenafstand"/>
      </w:pPr>
    </w:p>
    <w:p w:rsidR="00B6733A" w:rsidRPr="00353052" w:rsidRDefault="00B6733A" w:rsidP="00191789">
      <w:pPr>
        <w:pStyle w:val="Geenafstand"/>
        <w:rPr>
          <w:b/>
          <w:u w:val="single"/>
        </w:rPr>
      </w:pPr>
      <w:r w:rsidRPr="00353052">
        <w:rPr>
          <w:b/>
          <w:u w:val="single"/>
        </w:rPr>
        <w:t>Het doel van het evangelie</w:t>
      </w:r>
    </w:p>
    <w:p w:rsidR="0095302C" w:rsidRDefault="0095302C" w:rsidP="00191789">
      <w:pPr>
        <w:pStyle w:val="Geenafstand"/>
      </w:pPr>
      <w:r>
        <w:t xml:space="preserve">Markus heeft nergens in een voorwoord of inleiding aangegeven waarom hij zijn Evangelie geschreven heeft. </w:t>
      </w:r>
      <w:r w:rsidR="00B6733A">
        <w:t xml:space="preserve">Om achter </w:t>
      </w:r>
      <w:r>
        <w:t xml:space="preserve">het </w:t>
      </w:r>
      <w:r w:rsidR="00B6733A">
        <w:t>doel</w:t>
      </w:r>
      <w:r>
        <w:t>(en)</w:t>
      </w:r>
      <w:r w:rsidR="00B6733A">
        <w:t xml:space="preserve"> of de reden</w:t>
      </w:r>
      <w:r>
        <w:t>(en)</w:t>
      </w:r>
      <w:r w:rsidR="00B6733A">
        <w:t xml:space="preserve"> te komen waarom Markus zijn evangelie geschreven heeft is het belangrijk om niet alleen nauwkeurig te lezen wat Markus over Jezus schrijft, maar ook wat hij niet over de Heer schrijft. De passages die hij weglaat, in vergelijking met de andere evangeliën, zouden hem van </w:t>
      </w:r>
      <w:r>
        <w:t>dat af kunne</w:t>
      </w:r>
      <w:r w:rsidR="00A4463E">
        <w:t>n</w:t>
      </w:r>
      <w:r>
        <w:t xml:space="preserve"> </w:t>
      </w:r>
      <w:r w:rsidR="00B6733A">
        <w:t xml:space="preserve">houden. </w:t>
      </w:r>
    </w:p>
    <w:p w:rsidR="00B6733A" w:rsidRDefault="00B6733A" w:rsidP="00191789">
      <w:pPr>
        <w:pStyle w:val="Geenafstand"/>
      </w:pPr>
      <w:r>
        <w:t>Markus schrijft bijvoorbeeld niet over de geboorte van de Here Jezus</w:t>
      </w:r>
      <w:r w:rsidR="00BE0406">
        <w:t xml:space="preserve">, vergelijk Lucas 1 en 2. Hij geeft ook geen samenvatting van de grote toespraken van de Heer, vergelijk Mattheüs. Wat hij wel beschrijft en soms uitgebreider dan de andere evangelisten zijn de wonderen van de Heer.  </w:t>
      </w:r>
    </w:p>
    <w:p w:rsidR="002C6983" w:rsidRDefault="00F769AB" w:rsidP="00191789">
      <w:pPr>
        <w:pStyle w:val="Geenafstand"/>
      </w:pPr>
      <w:r>
        <w:t>Een voorbeeld van een uitgebreidere beschrijving van een wonder vind je in 9:14-29</w:t>
      </w:r>
      <w:r w:rsidR="00272F65">
        <w:t xml:space="preserve"> (16 verzen). In Matt</w:t>
      </w:r>
      <w:r w:rsidR="00A4463E">
        <w:t>h</w:t>
      </w:r>
      <w:r w:rsidR="00272F65">
        <w:t xml:space="preserve">eüs vind je dit gedeelte in 17:21-28 (8 verzen) en in Lukas 9:37-43 (7 verzen). In dit gedeelte beschrijft Markus twee details meer dan de andere evangelisten. </w:t>
      </w:r>
    </w:p>
    <w:p w:rsidR="00593940" w:rsidRDefault="00272F65" w:rsidP="00191789">
      <w:pPr>
        <w:pStyle w:val="Geenafstand"/>
      </w:pPr>
      <w:r>
        <w:lastRenderedPageBreak/>
        <w:t>Ten eerste  het bakkeleien van de discipelen met de schriftgeleerden, en ten tweede het kleine geloof van de vader van de bezeten jongen. Dit gedeelte geeft aan dat Markus eerlijk de zwakheden van de discipelen en de omstanders beschrijft</w:t>
      </w:r>
      <w:r w:rsidR="00593940">
        <w:t xml:space="preserve">. De lezers zullen zich hier waarschijnlijk wel in herkennen. De beschreven karakters waren hen niet vreemd. </w:t>
      </w:r>
    </w:p>
    <w:p w:rsidR="00F769AB" w:rsidRDefault="00593940" w:rsidP="00191789">
      <w:pPr>
        <w:pStyle w:val="Geenafstand"/>
      </w:pPr>
      <w:r>
        <w:t>Een ander voorbeeld van de zwakke kant van enkele discipelen benadrukt Markus in 10:35-45 (vergelijk Mat. 20;20-28 en Lukas 22:24-27). Markus beschrijft dat de zonen van Zebedeüs, Johannes en Jakobus</w:t>
      </w:r>
      <w:r w:rsidR="002C6983">
        <w:t>,</w:t>
      </w:r>
      <w:r>
        <w:t xml:space="preserve"> vragen om, wanneer </w:t>
      </w:r>
      <w:r w:rsidR="002C6983">
        <w:t xml:space="preserve">de Heer </w:t>
      </w:r>
      <w:r>
        <w:t>alles overwonnen heeft, naast de Hem te mogen zitten. De andere evangelisten schrijven deze opmerking toe aan de moeder van Johannes en Jakobus.</w:t>
      </w:r>
    </w:p>
    <w:p w:rsidR="00593940" w:rsidRDefault="00593940" w:rsidP="00191789">
      <w:pPr>
        <w:pStyle w:val="Geenafstand"/>
      </w:pPr>
      <w:r>
        <w:t xml:space="preserve">Een van de redenen waarom Markus zijn </w:t>
      </w:r>
      <w:r w:rsidR="002C6983">
        <w:t>E</w:t>
      </w:r>
      <w:r>
        <w:t xml:space="preserve">vangelie schrijft is te laten zien dat alle gelovigen momenten van zwakten (ook de Joodse discipelen) hebben en daardoor niet altijd ten volle op de Heer vertrouwen, MAAR dat de Heer wel getrouw is en zich niet laat hinderen door de zwakten van Zijn kinderen (ook de gelovigen uit de heidenen). </w:t>
      </w:r>
    </w:p>
    <w:p w:rsidR="00393189" w:rsidRDefault="00393189" w:rsidP="00191789">
      <w:pPr>
        <w:pStyle w:val="Geenafstand"/>
      </w:pPr>
    </w:p>
    <w:p w:rsidR="00393189" w:rsidRPr="00353052" w:rsidRDefault="00393189" w:rsidP="00191789">
      <w:pPr>
        <w:pStyle w:val="Geenafstand"/>
        <w:rPr>
          <w:b/>
          <w:u w:val="single"/>
        </w:rPr>
      </w:pPr>
      <w:r w:rsidRPr="00353052">
        <w:rPr>
          <w:b/>
          <w:u w:val="single"/>
        </w:rPr>
        <w:t>Structuur en indeling van Markus</w:t>
      </w:r>
    </w:p>
    <w:p w:rsidR="00393189" w:rsidRPr="00393189" w:rsidRDefault="00393189" w:rsidP="00393189">
      <w:pPr>
        <w:spacing w:after="0"/>
        <w:rPr>
          <w:rFonts w:asciiTheme="minorHAnsi" w:hAnsiTheme="minorHAnsi"/>
        </w:rPr>
      </w:pPr>
      <w:r w:rsidRPr="00393189">
        <w:rPr>
          <w:rFonts w:asciiTheme="minorHAnsi" w:hAnsiTheme="minorHAnsi"/>
        </w:rPr>
        <w:t>Wanneer we naar de opbouw van het evangelie gaan kijken dan valt ons op dat Markus bi</w:t>
      </w:r>
      <w:r>
        <w:rPr>
          <w:rFonts w:asciiTheme="minorHAnsi" w:hAnsiTheme="minorHAnsi"/>
        </w:rPr>
        <w:t>jna elke perikoop begint met “toen”</w:t>
      </w:r>
      <w:r w:rsidRPr="00393189">
        <w:rPr>
          <w:rFonts w:asciiTheme="minorHAnsi" w:hAnsiTheme="minorHAnsi"/>
        </w:rPr>
        <w:t xml:space="preserve">. Het lijkt er op of </w:t>
      </w:r>
      <w:r>
        <w:rPr>
          <w:rFonts w:asciiTheme="minorHAnsi" w:hAnsiTheme="minorHAnsi"/>
        </w:rPr>
        <w:t>Markus</w:t>
      </w:r>
      <w:r w:rsidRPr="00393189">
        <w:rPr>
          <w:rFonts w:asciiTheme="minorHAnsi" w:hAnsiTheme="minorHAnsi"/>
        </w:rPr>
        <w:t xml:space="preserve"> in een heel korte tijd heel veel informatie wil doorgeven. Stel je eens voor dat je het Markus evangelie hoort voorlezen, dan lijkt het net een klein kind dat heel snel een aantal gebeurtenissen aan elkaar plakt, en toen dit … en toen ging.. en toen hoorden we, … en toen……</w:t>
      </w:r>
    </w:p>
    <w:p w:rsidR="00393189" w:rsidRDefault="00393189" w:rsidP="00393189">
      <w:pPr>
        <w:spacing w:after="0"/>
        <w:rPr>
          <w:rFonts w:asciiTheme="minorHAnsi" w:hAnsiTheme="minorHAnsi"/>
        </w:rPr>
      </w:pPr>
      <w:r w:rsidRPr="00393189">
        <w:rPr>
          <w:rFonts w:asciiTheme="minorHAnsi" w:hAnsiTheme="minorHAnsi"/>
        </w:rPr>
        <w:t>Markus schrijft op een levendige manier waardoor er heel veel snelheid in het Bijbelboek zit. We kunnen het voor onze ogen zien gebeuren.</w:t>
      </w:r>
    </w:p>
    <w:p w:rsidR="00393189" w:rsidRPr="00393189" w:rsidRDefault="00393189" w:rsidP="00393189">
      <w:pPr>
        <w:spacing w:after="0"/>
        <w:rPr>
          <w:rFonts w:asciiTheme="minorHAnsi" w:hAnsiTheme="minorHAnsi"/>
        </w:rPr>
      </w:pPr>
    </w:p>
    <w:p w:rsidR="00393189" w:rsidRDefault="002C6983" w:rsidP="00191789">
      <w:pPr>
        <w:pStyle w:val="Geenafstand"/>
      </w:pPr>
      <w:r>
        <w:t>Een van de belangrijke thema’s die Markus behandelt is de dienstbaarheid van de Heer. Een kerntekst met betrekking tot dit thema is 10:45. Om de structuur en het thema zichtbaar te maken vind je hieronder een overzichtje.</w:t>
      </w:r>
    </w:p>
    <w:p w:rsidR="00393189" w:rsidRDefault="00393189" w:rsidP="00191789">
      <w:pPr>
        <w:pStyle w:val="Geenafstand"/>
      </w:pPr>
    </w:p>
    <w:tbl>
      <w:tblPr>
        <w:tblW w:w="9137" w:type="dxa"/>
        <w:tblInd w:w="15" w:type="dxa"/>
        <w:tblLook w:val="0000" w:firstRow="0" w:lastRow="0" w:firstColumn="0" w:lastColumn="0" w:noHBand="0" w:noVBand="0"/>
      </w:tblPr>
      <w:tblGrid>
        <w:gridCol w:w="1000"/>
        <w:gridCol w:w="1731"/>
        <w:gridCol w:w="1607"/>
        <w:gridCol w:w="1571"/>
        <w:gridCol w:w="1621"/>
        <w:gridCol w:w="1607"/>
      </w:tblGrid>
      <w:tr w:rsidR="00393189" w:rsidRPr="00067569" w:rsidTr="00393189">
        <w:trPr>
          <w:cantSplit/>
          <w:trHeight w:val="38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p>
          <w:p w:rsidR="00393189" w:rsidRPr="00A3365B" w:rsidRDefault="00393189" w:rsidP="000A3F71">
            <w:pPr>
              <w:rPr>
                <w:rFonts w:ascii="Times New Roman" w:eastAsia="Times New Roman" w:hAnsi="Times New Roman"/>
                <w:sz w:val="18"/>
                <w:szCs w:val="18"/>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Dienstbaarheid</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Opoffering</w:t>
            </w:r>
          </w:p>
        </w:tc>
      </w:tr>
      <w:tr w:rsidR="00393189" w:rsidRPr="00067569" w:rsidTr="00393189">
        <w:trPr>
          <w:cantSplit/>
          <w:trHeight w:val="191"/>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Verwijstekst</w:t>
            </w: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i/>
                <w:color w:val="000000"/>
                <w:sz w:val="18"/>
              </w:rPr>
            </w:pPr>
            <w:r w:rsidRPr="00A3365B">
              <w:rPr>
                <w:rFonts w:ascii="Times New Roman" w:eastAsia="Times New Roman" w:hAnsi="Times New Roman"/>
                <w:i/>
                <w:color w:val="000000"/>
                <w:sz w:val="18"/>
              </w:rPr>
              <w:t>1:1                             2:13                         8:27                       11:1                       16:1             16:20</w:t>
            </w:r>
          </w:p>
        </w:tc>
      </w:tr>
      <w:tr w:rsidR="00393189" w:rsidRPr="00067569" w:rsidTr="00393189">
        <w:trPr>
          <w:cantSplit/>
          <w:trHeight w:val="38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Indeling</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Het voorstellen van de Dienstknecht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Tegenstand van de Dienstknecht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Onderwijs van de Dienstknecht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Verwerping van de Dienstknecht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Opstanding van de Dienstknecht</w:t>
            </w:r>
          </w:p>
        </w:tc>
      </w:tr>
      <w:tr w:rsidR="00393189" w:rsidRPr="00067569" w:rsidTr="00393189">
        <w:trPr>
          <w:cantSplit/>
          <w:trHeight w:val="259"/>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Onderwerp</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Uitspraken en tekenen</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Lijden</w:t>
            </w:r>
          </w:p>
        </w:tc>
      </w:tr>
      <w:tr w:rsidR="00393189" w:rsidRPr="00067569" w:rsidTr="00393189">
        <w:trPr>
          <w:cantSplit/>
          <w:trHeight w:val="259"/>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Plaats</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Galilea en Perea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color w:val="000000"/>
                <w:sz w:val="18"/>
                <w:lang w:val="es-ES_tradnl"/>
              </w:rPr>
            </w:pPr>
            <w:r w:rsidRPr="00A3365B">
              <w:rPr>
                <w:rFonts w:ascii="Times New Roman" w:eastAsia="Times New Roman" w:hAnsi="Times New Roman"/>
                <w:color w:val="000000"/>
                <w:sz w:val="18"/>
                <w:lang w:val="es-ES_tradnl"/>
              </w:rPr>
              <w:t>Juda en Jeruzalem</w:t>
            </w:r>
          </w:p>
        </w:tc>
      </w:tr>
      <w:tr w:rsidR="00393189" w:rsidRPr="00067569" w:rsidTr="00393189">
        <w:trPr>
          <w:cantSplit/>
          <w:trHeight w:val="25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b/>
                <w:color w:val="000000"/>
                <w:sz w:val="18"/>
              </w:rPr>
            </w:pPr>
            <w:r w:rsidRPr="00A3365B">
              <w:rPr>
                <w:rFonts w:ascii="Times New Roman" w:eastAsia="Times New Roman" w:hAnsi="Times New Roman"/>
                <w:b/>
                <w:color w:val="000000"/>
                <w:sz w:val="18"/>
              </w:rPr>
              <w:t>Tijd</w:t>
            </w: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29-33 n.Chr</w:t>
            </w:r>
          </w:p>
        </w:tc>
      </w:tr>
      <w:tr w:rsidR="00393189" w:rsidRPr="00067569" w:rsidTr="00393189">
        <w:trPr>
          <w:cantSplit/>
          <w:trHeight w:val="259"/>
        </w:trPr>
        <w:tc>
          <w:tcPr>
            <w:tcW w:w="0" w:type="auto"/>
            <w:vMerge/>
            <w:tcBorders>
              <w:top w:val="single" w:sz="8"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393189" w:rsidRPr="00A3365B" w:rsidRDefault="00393189" w:rsidP="000A3F71">
            <w:pPr>
              <w:rPr>
                <w:rFonts w:ascii="Times New Roman" w:eastAsia="Times New Roman" w:hAnsi="Times New Roman"/>
                <w:sz w:val="18"/>
                <w:szCs w:val="18"/>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ong. 3 jaar</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ong. 6 maanden</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393189" w:rsidRPr="00A3365B" w:rsidRDefault="00393189" w:rsidP="000A3F71">
            <w:pPr>
              <w:rPr>
                <w:rFonts w:ascii="Times New Roman" w:eastAsia="Times New Roman" w:hAnsi="Times New Roman"/>
                <w:color w:val="000000"/>
                <w:sz w:val="18"/>
              </w:rPr>
            </w:pPr>
            <w:r w:rsidRPr="00A3365B">
              <w:rPr>
                <w:rFonts w:ascii="Times New Roman" w:eastAsia="Times New Roman" w:hAnsi="Times New Roman"/>
                <w:color w:val="000000"/>
                <w:sz w:val="18"/>
              </w:rPr>
              <w:t>8 dagen</w:t>
            </w:r>
          </w:p>
        </w:tc>
      </w:tr>
    </w:tbl>
    <w:p w:rsidR="00393189" w:rsidRDefault="00393189" w:rsidP="00191789">
      <w:pPr>
        <w:pStyle w:val="Geenafstand"/>
      </w:pPr>
    </w:p>
    <w:p w:rsidR="002C6983" w:rsidRDefault="002C6983" w:rsidP="00191789">
      <w:pPr>
        <w:pStyle w:val="Geenafstand"/>
      </w:pPr>
      <w:r>
        <w:t xml:space="preserve">Van een Bijbelboek zijn verschillende overzichten te maken. Dit overzicht komt uit de Studiebijbel (Veenendaal). Wanneer je kijkt naar het kopje “tijd” dan zie je dat </w:t>
      </w:r>
      <w:r w:rsidR="00353052">
        <w:t>twee derde van het Bijbelboek over ongeveer 3,5 jaar gaat en één derde over de laatste 8 dagen van de Heer op aarde.</w:t>
      </w:r>
    </w:p>
    <w:p w:rsidR="00353052" w:rsidRDefault="00353052" w:rsidP="00191789">
      <w:pPr>
        <w:pStyle w:val="Geenafstand"/>
      </w:pPr>
      <w:r>
        <w:t xml:space="preserve">Veel van de gebeurtenissen die Markus beschrijft gebeuren in Galilea. Zou dit iets met de eerste lezers te maken kunnen hebben? Kijk eens wat er in Mat. 4:15 over Galilea gezegd wordt. </w:t>
      </w:r>
    </w:p>
    <w:p w:rsidR="00353052" w:rsidRDefault="00353052" w:rsidP="00191789">
      <w:pPr>
        <w:pStyle w:val="Geenafstand"/>
      </w:pPr>
      <w:r>
        <w:t>Wat een bemoediging voor de gelovigen uit de heidenen, de Here der heren heeft ook oog voor hen.</w:t>
      </w:r>
    </w:p>
    <w:p w:rsidR="00353052" w:rsidRDefault="00353052" w:rsidP="00191789">
      <w:pPr>
        <w:pStyle w:val="Geenafstand"/>
      </w:pPr>
    </w:p>
    <w:p w:rsidR="00353052" w:rsidRDefault="00353052" w:rsidP="00191789">
      <w:pPr>
        <w:pStyle w:val="Geenafstand"/>
      </w:pPr>
      <w:r>
        <w:t>Gods zegen toegewenst met het bestuderen van het Markus evangelie</w:t>
      </w:r>
      <w:r w:rsidR="00A4463E">
        <w:t>.</w:t>
      </w:r>
    </w:p>
    <w:sectPr w:rsidR="00353052" w:rsidSect="002C6983">
      <w:headerReference w:type="default" r:id="rId6"/>
      <w:foot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40" w:rsidRDefault="00142E40" w:rsidP="00393189">
      <w:pPr>
        <w:spacing w:after="0"/>
      </w:pPr>
      <w:r>
        <w:separator/>
      </w:r>
    </w:p>
  </w:endnote>
  <w:endnote w:type="continuationSeparator" w:id="0">
    <w:p w:rsidR="00142E40" w:rsidRDefault="00142E40" w:rsidP="00393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13224"/>
      <w:docPartObj>
        <w:docPartGallery w:val="Page Numbers (Bottom of Page)"/>
        <w:docPartUnique/>
      </w:docPartObj>
    </w:sdtPr>
    <w:sdtEndPr/>
    <w:sdtContent>
      <w:p w:rsidR="0035372F" w:rsidRDefault="0035372F">
        <w:pPr>
          <w:pStyle w:val="Voettekst"/>
          <w:jc w:val="right"/>
        </w:pPr>
        <w:r>
          <w:fldChar w:fldCharType="begin"/>
        </w:r>
        <w:r>
          <w:instrText>PAGE   \* MERGEFORMAT</w:instrText>
        </w:r>
        <w:r>
          <w:fldChar w:fldCharType="separate"/>
        </w:r>
        <w:r w:rsidR="0013391F">
          <w:rPr>
            <w:noProof/>
          </w:rPr>
          <w:t>2</w:t>
        </w:r>
        <w:r>
          <w:fldChar w:fldCharType="end"/>
        </w:r>
      </w:p>
    </w:sdtContent>
  </w:sdt>
  <w:p w:rsidR="0035372F" w:rsidRDefault="003537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40" w:rsidRDefault="00142E40" w:rsidP="00393189">
      <w:pPr>
        <w:spacing w:after="0"/>
      </w:pPr>
      <w:r>
        <w:separator/>
      </w:r>
    </w:p>
  </w:footnote>
  <w:footnote w:type="continuationSeparator" w:id="0">
    <w:p w:rsidR="00142E40" w:rsidRDefault="00142E40" w:rsidP="00393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2" w:rsidRDefault="00353052">
    <w:pPr>
      <w:pStyle w:val="Koptekst"/>
    </w:pPr>
    <w:r>
      <w:tab/>
      <w:t>Het evangelie volgens Markus</w:t>
    </w:r>
    <w:r w:rsidR="00C574FB">
      <w:tab/>
      <w:t>EKW</w:t>
    </w:r>
  </w:p>
  <w:p w:rsidR="00353052" w:rsidRDefault="003530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89"/>
    <w:rsid w:val="0013391F"/>
    <w:rsid w:val="00142E40"/>
    <w:rsid w:val="00191789"/>
    <w:rsid w:val="00272F65"/>
    <w:rsid w:val="002C6983"/>
    <w:rsid w:val="002F1256"/>
    <w:rsid w:val="00353052"/>
    <w:rsid w:val="0035372F"/>
    <w:rsid w:val="00393189"/>
    <w:rsid w:val="004E40CB"/>
    <w:rsid w:val="00593940"/>
    <w:rsid w:val="00710CF0"/>
    <w:rsid w:val="0095302C"/>
    <w:rsid w:val="00A4463E"/>
    <w:rsid w:val="00B55B60"/>
    <w:rsid w:val="00B6733A"/>
    <w:rsid w:val="00BE0406"/>
    <w:rsid w:val="00C574FB"/>
    <w:rsid w:val="00CF055D"/>
    <w:rsid w:val="00D70E36"/>
    <w:rsid w:val="00DB25D8"/>
    <w:rsid w:val="00E51A72"/>
    <w:rsid w:val="00F769AB"/>
    <w:rsid w:val="00FC5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80176-27D9-4A58-A037-FE7288A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189"/>
    <w:pPr>
      <w:spacing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1789"/>
    <w:pPr>
      <w:spacing w:after="0" w:line="240" w:lineRule="auto"/>
    </w:pPr>
  </w:style>
  <w:style w:type="character" w:styleId="Voetnootmarkering">
    <w:name w:val="footnote reference"/>
    <w:semiHidden/>
    <w:rsid w:val="00393189"/>
    <w:rPr>
      <w:vertAlign w:val="superscript"/>
    </w:rPr>
  </w:style>
  <w:style w:type="paragraph" w:styleId="Koptekst">
    <w:name w:val="header"/>
    <w:basedOn w:val="Standaard"/>
    <w:link w:val="KoptekstChar"/>
    <w:uiPriority w:val="99"/>
    <w:unhideWhenUsed/>
    <w:rsid w:val="00353052"/>
    <w:pPr>
      <w:tabs>
        <w:tab w:val="center" w:pos="4536"/>
        <w:tab w:val="right" w:pos="9072"/>
      </w:tabs>
      <w:spacing w:after="0"/>
    </w:pPr>
  </w:style>
  <w:style w:type="character" w:customStyle="1" w:styleId="KoptekstChar">
    <w:name w:val="Koptekst Char"/>
    <w:basedOn w:val="Standaardalinea-lettertype"/>
    <w:link w:val="Koptekst"/>
    <w:uiPriority w:val="99"/>
    <w:rsid w:val="00353052"/>
    <w:rPr>
      <w:rFonts w:ascii="Calibri" w:eastAsia="Calibri" w:hAnsi="Calibri" w:cs="Times New Roman"/>
    </w:rPr>
  </w:style>
  <w:style w:type="paragraph" w:styleId="Voettekst">
    <w:name w:val="footer"/>
    <w:basedOn w:val="Standaard"/>
    <w:link w:val="VoettekstChar"/>
    <w:uiPriority w:val="99"/>
    <w:unhideWhenUsed/>
    <w:rsid w:val="00353052"/>
    <w:pPr>
      <w:tabs>
        <w:tab w:val="center" w:pos="4536"/>
        <w:tab w:val="right" w:pos="9072"/>
      </w:tabs>
      <w:spacing w:after="0"/>
    </w:pPr>
  </w:style>
  <w:style w:type="character" w:customStyle="1" w:styleId="VoettekstChar">
    <w:name w:val="Voettekst Char"/>
    <w:basedOn w:val="Standaardalinea-lettertype"/>
    <w:link w:val="Voettekst"/>
    <w:uiPriority w:val="99"/>
    <w:rsid w:val="00353052"/>
    <w:rPr>
      <w:rFonts w:ascii="Calibri" w:eastAsia="Calibri" w:hAnsi="Calibri" w:cs="Times New Roman"/>
    </w:rPr>
  </w:style>
  <w:style w:type="paragraph" w:styleId="Ballontekst">
    <w:name w:val="Balloon Text"/>
    <w:basedOn w:val="Standaard"/>
    <w:link w:val="BallontekstChar"/>
    <w:uiPriority w:val="99"/>
    <w:semiHidden/>
    <w:unhideWhenUsed/>
    <w:rsid w:val="0035305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0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ISW Hoogeland</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Staalduine</dc:creator>
  <cp:lastModifiedBy>cor Looije</cp:lastModifiedBy>
  <cp:revision>2</cp:revision>
  <dcterms:created xsi:type="dcterms:W3CDTF">2018-01-08T18:56:00Z</dcterms:created>
  <dcterms:modified xsi:type="dcterms:W3CDTF">2018-01-08T18:56:00Z</dcterms:modified>
</cp:coreProperties>
</file>